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E69E" w14:textId="77777777" w:rsidR="009905C7" w:rsidRPr="009905C7" w:rsidRDefault="009905C7" w:rsidP="009905C7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5C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80DC312" wp14:editId="730189AA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2546" w14:textId="77777777" w:rsidR="009905C7" w:rsidRPr="009905C7" w:rsidRDefault="009905C7" w:rsidP="0099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12BB3C" w14:textId="77777777" w:rsidR="009905C7" w:rsidRPr="009905C7" w:rsidRDefault="009905C7" w:rsidP="0099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905C7">
        <w:rPr>
          <w:rFonts w:ascii="Times New Roman" w:eastAsia="Times New Roman" w:hAnsi="Times New Roman"/>
          <w:b/>
          <w:sz w:val="32"/>
          <w:szCs w:val="20"/>
          <w:lang w:eastAsia="ru-RU"/>
        </w:rPr>
        <w:t>КОНТРОЛЬНО-СЧЕТНАЯ ПАЛАТА</w:t>
      </w:r>
    </w:p>
    <w:p w14:paraId="42A5A73E" w14:textId="77777777" w:rsidR="009905C7" w:rsidRPr="009905C7" w:rsidRDefault="009905C7" w:rsidP="0099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905C7">
        <w:rPr>
          <w:rFonts w:ascii="Times New Roman" w:eastAsia="Times New Roman" w:hAnsi="Times New Roman"/>
          <w:b/>
          <w:sz w:val="32"/>
          <w:szCs w:val="20"/>
          <w:lang w:eastAsia="ru-RU"/>
        </w:rPr>
        <w:t>ЗЛАТОУСТОВСКОГО ГОРОДСКОГО ОКРУГА</w:t>
      </w:r>
    </w:p>
    <w:p w14:paraId="368C2BA7" w14:textId="210A6EDD" w:rsidR="001D66B5" w:rsidRPr="00D15D17" w:rsidRDefault="001D66B5" w:rsidP="001D66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35B49F" wp14:editId="5245D563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0" b="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DB2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3A7366C8" w14:textId="77777777" w:rsidR="001D66B5" w:rsidRPr="006905C7" w:rsidRDefault="001D66B5" w:rsidP="001D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_Hlk66352719"/>
    </w:p>
    <w:p w14:paraId="783ADA93" w14:textId="079079FE" w:rsidR="001D66B5" w:rsidRDefault="009905C7" w:rsidP="009905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1D66B5">
        <w:rPr>
          <w:rFonts w:ascii="Times New Roman" w:hAnsi="Times New Roman"/>
          <w:b/>
          <w:bCs/>
          <w:color w:val="000000"/>
          <w:sz w:val="28"/>
          <w:szCs w:val="28"/>
        </w:rPr>
        <w:t>ИНФОРМАЦИЯ</w:t>
      </w:r>
    </w:p>
    <w:p w14:paraId="652E1C7B" w14:textId="77777777" w:rsidR="009905C7" w:rsidRDefault="00C12705" w:rsidP="00C12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07D9C" w:rsidRPr="00407D9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 проведения</w:t>
      </w:r>
      <w:r w:rsidR="00407D9C" w:rsidRPr="00407D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экспертно-аналитического мероприятия</w:t>
      </w:r>
      <w:r w:rsidR="00407D9C">
        <w:rPr>
          <w:rFonts w:ascii="Times New Roman" w:hAnsi="Times New Roman"/>
          <w:b/>
          <w:sz w:val="28"/>
          <w:szCs w:val="28"/>
        </w:rPr>
        <w:t xml:space="preserve"> «М</w:t>
      </w:r>
      <w:r w:rsidR="001D66B5">
        <w:rPr>
          <w:rFonts w:ascii="Times New Roman" w:hAnsi="Times New Roman"/>
          <w:b/>
          <w:sz w:val="28"/>
          <w:szCs w:val="28"/>
        </w:rPr>
        <w:t>ониторинга исполнения региональных проектов</w:t>
      </w:r>
    </w:p>
    <w:p w14:paraId="04E02407" w14:textId="4CA4B12E" w:rsidR="001D66B5" w:rsidRPr="00C12705" w:rsidRDefault="00C12705" w:rsidP="00C12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D66B5">
        <w:rPr>
          <w:rFonts w:ascii="Times New Roman" w:hAnsi="Times New Roman"/>
          <w:b/>
          <w:sz w:val="28"/>
          <w:szCs w:val="28"/>
        </w:rPr>
        <w:t>за 9 месяцев 2024 года</w:t>
      </w:r>
      <w:r w:rsidR="00407D9C">
        <w:rPr>
          <w:rFonts w:ascii="Times New Roman" w:hAnsi="Times New Roman"/>
          <w:b/>
          <w:sz w:val="28"/>
          <w:szCs w:val="28"/>
        </w:rPr>
        <w:t>»</w:t>
      </w:r>
    </w:p>
    <w:p w14:paraId="1296C417" w14:textId="77777777" w:rsidR="00407D9C" w:rsidRDefault="00407D9C" w:rsidP="00407D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4C1F00" w14:textId="7597D3FA" w:rsidR="009C7021" w:rsidRDefault="00EE0BB2" w:rsidP="009C70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E0BB2">
        <w:rPr>
          <w:rFonts w:ascii="Times New Roman" w:eastAsiaTheme="minorHAnsi" w:hAnsi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1" w:name="_Hlk92200911"/>
      <w:r w:rsidRPr="00EE0BB2">
        <w:rPr>
          <w:rFonts w:ascii="Times New Roman" w:eastAsiaTheme="minorHAnsi" w:hAnsi="Times New Roman"/>
          <w:sz w:val="28"/>
          <w:szCs w:val="28"/>
        </w:rPr>
        <w:t>Федерального закона от 07.02.2011 №6-ФЗ</w:t>
      </w:r>
      <w:bookmarkEnd w:id="1"/>
      <w:r w:rsidRPr="00EE0BB2">
        <w:rPr>
          <w:rFonts w:ascii="Times New Roman" w:eastAsiaTheme="minorHAnsi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EE0BB2">
        <w:rPr>
          <w:rFonts w:ascii="Times New Roman" w:eastAsiaTheme="minorHAnsi" w:hAnsi="Times New Roman"/>
          <w:sz w:val="28"/>
          <w:szCs w:val="28"/>
        </w:rPr>
        <w:t xml:space="preserve"> 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EE0BB2">
        <w:rPr>
          <w:rFonts w:ascii="Times New Roman" w:eastAsiaTheme="minorHAnsi" w:hAnsi="Times New Roman"/>
          <w:sz w:val="28"/>
          <w:szCs w:val="28"/>
        </w:rPr>
        <w:t xml:space="preserve"> 6.4 </w:t>
      </w: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E0BB2">
        <w:rPr>
          <w:rFonts w:ascii="Times New Roman" w:eastAsiaTheme="minorHAnsi" w:hAnsi="Times New Roman"/>
          <w:sz w:val="28"/>
          <w:szCs w:val="28"/>
        </w:rPr>
        <w:t>раздела II Плана работы К</w:t>
      </w:r>
      <w:r w:rsidR="006953C3">
        <w:rPr>
          <w:rFonts w:ascii="Times New Roman" w:eastAsiaTheme="minorHAnsi" w:hAnsi="Times New Roman"/>
          <w:sz w:val="28"/>
          <w:szCs w:val="28"/>
        </w:rPr>
        <w:t>онтрольно-счетной палаты</w:t>
      </w:r>
      <w:r w:rsidRPr="00EE0BB2">
        <w:rPr>
          <w:rFonts w:ascii="Times New Roman" w:eastAsiaTheme="minorHAnsi" w:hAnsi="Times New Roman"/>
          <w:sz w:val="28"/>
          <w:szCs w:val="28"/>
        </w:rPr>
        <w:t xml:space="preserve"> ЗГО на 2024 год.</w:t>
      </w:r>
      <w:r w:rsidR="009C7021" w:rsidRPr="009C7021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94F7792" w14:textId="5D4E1066" w:rsidR="00EE0BB2" w:rsidRDefault="009C7021" w:rsidP="00EE0B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1185">
        <w:rPr>
          <w:rFonts w:ascii="Times New Roman" w:eastAsiaTheme="minorHAnsi" w:hAnsi="Times New Roman"/>
          <w:sz w:val="28"/>
          <w:szCs w:val="28"/>
        </w:rPr>
        <w:t>Цель экспертно-аналитического мероприятия: анализ информации по исполнению региональных проектов на территории Златоустовского городского округа.</w:t>
      </w:r>
    </w:p>
    <w:p w14:paraId="231DC509" w14:textId="09AC912C" w:rsidR="00F3149E" w:rsidRDefault="00F3149E" w:rsidP="004D118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3149E">
        <w:rPr>
          <w:rFonts w:ascii="Times New Roman" w:eastAsiaTheme="minorHAnsi" w:hAnsi="Times New Roman"/>
          <w:sz w:val="28"/>
          <w:szCs w:val="28"/>
        </w:rPr>
        <w:t xml:space="preserve">Результаты </w:t>
      </w:r>
      <w:r w:rsidR="00BD5D19">
        <w:rPr>
          <w:rFonts w:ascii="Times New Roman" w:eastAsiaTheme="minorHAnsi" w:hAnsi="Times New Roman"/>
          <w:sz w:val="28"/>
          <w:szCs w:val="28"/>
        </w:rPr>
        <w:t>мониторинга исполнения региональных проектов за 9 месяцев 2024 года</w:t>
      </w:r>
      <w:r w:rsidRPr="00F3149E">
        <w:rPr>
          <w:rFonts w:ascii="Times New Roman" w:eastAsiaTheme="minorHAnsi" w:hAnsi="Times New Roman"/>
          <w:sz w:val="28"/>
          <w:szCs w:val="28"/>
        </w:rPr>
        <w:t xml:space="preserve"> отражены в заключении Контрольно-счетной палаты от 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F3149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10</w:t>
      </w:r>
      <w:r w:rsidRPr="00F3149E">
        <w:rPr>
          <w:rFonts w:ascii="Times New Roman" w:eastAsiaTheme="minorHAnsi" w:hAnsi="Times New Roman"/>
          <w:sz w:val="28"/>
          <w:szCs w:val="28"/>
        </w:rPr>
        <w:t>.2024 №</w:t>
      </w:r>
      <w:r>
        <w:rPr>
          <w:rFonts w:ascii="Times New Roman" w:eastAsiaTheme="minorHAnsi" w:hAnsi="Times New Roman"/>
          <w:sz w:val="28"/>
          <w:szCs w:val="28"/>
        </w:rPr>
        <w:t>101</w:t>
      </w:r>
      <w:r w:rsidRPr="00F3149E">
        <w:rPr>
          <w:rFonts w:ascii="Times New Roman" w:eastAsiaTheme="minorHAnsi" w:hAnsi="Times New Roman"/>
          <w:sz w:val="28"/>
          <w:szCs w:val="28"/>
        </w:rPr>
        <w:t>.</w:t>
      </w:r>
    </w:p>
    <w:p w14:paraId="0E6D3A9C" w14:textId="69211AB5" w:rsidR="00103F5E" w:rsidRPr="00103F5E" w:rsidRDefault="009C7021" w:rsidP="00A34F69">
      <w:pPr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</w:rPr>
      </w:pPr>
      <w:r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8F7F60" wp14:editId="7CE7F740">
            <wp:simplePos x="0" y="0"/>
            <wp:positionH relativeFrom="column">
              <wp:posOffset>356870</wp:posOffset>
            </wp:positionH>
            <wp:positionV relativeFrom="paragraph">
              <wp:posOffset>104140</wp:posOffset>
            </wp:positionV>
            <wp:extent cx="1104900" cy="733425"/>
            <wp:effectExtent l="0" t="0" r="0" b="0"/>
            <wp:wrapSquare wrapText="bothSides"/>
            <wp:docPr id="9982051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CD723" w14:textId="6A055885" w:rsidR="009C7021" w:rsidRPr="009C7021" w:rsidRDefault="002B5C38" w:rsidP="009C70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B5C38">
        <w:rPr>
          <w:rFonts w:ascii="Times New Roman" w:eastAsiaTheme="minorHAnsi" w:hAnsi="Times New Roman"/>
          <w:sz w:val="28"/>
          <w:szCs w:val="28"/>
        </w:rPr>
        <w:t>В 2024 году в Златоустовском городском округе запланирована реализация 10 (десяти) региональных проектов Челябинской области в составе пяти национальных проектов.</w:t>
      </w:r>
    </w:p>
    <w:p w14:paraId="04CD5E73" w14:textId="411D5038" w:rsidR="009C7021" w:rsidRDefault="009C7021" w:rsidP="009C70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E6C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реализацию </w:t>
      </w:r>
      <w:r w:rsidR="007E6CC2">
        <w:rPr>
          <w:rFonts w:ascii="Times New Roman" w:hAnsi="Times New Roman"/>
          <w:bCs/>
          <w:sz w:val="28"/>
          <w:szCs w:val="28"/>
        </w:rPr>
        <w:t>региональных проектов</w:t>
      </w:r>
      <w:r>
        <w:rPr>
          <w:rFonts w:ascii="Times New Roman" w:hAnsi="Times New Roman"/>
          <w:bCs/>
          <w:sz w:val="28"/>
          <w:szCs w:val="28"/>
        </w:rPr>
        <w:t xml:space="preserve"> предусмотрены бюджетные средства в общем объеме </w:t>
      </w:r>
      <w:r>
        <w:rPr>
          <w:rFonts w:ascii="Times New Roman" w:hAnsi="Times New Roman"/>
          <w:sz w:val="28"/>
          <w:szCs w:val="28"/>
        </w:rPr>
        <w:t xml:space="preserve">375 153,6 </w:t>
      </w:r>
      <w:r>
        <w:rPr>
          <w:rFonts w:ascii="Times New Roman" w:hAnsi="Times New Roman"/>
          <w:bCs/>
          <w:sz w:val="28"/>
          <w:szCs w:val="28"/>
        </w:rPr>
        <w:t>тыс. рублей (4,2% от общего объема бюджетных ассигнований округа).</w:t>
      </w:r>
    </w:p>
    <w:p w14:paraId="4F74135A" w14:textId="77777777" w:rsidR="00103F5E" w:rsidRPr="00103F5E" w:rsidRDefault="00103F5E" w:rsidP="00103F5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103F5E">
        <w:rPr>
          <w:rFonts w:ascii="Times New Roman" w:hAnsi="Times New Roman"/>
          <w:bCs/>
          <w:sz w:val="20"/>
          <w:szCs w:val="20"/>
        </w:rPr>
        <w:t>Таблица №1</w:t>
      </w:r>
    </w:p>
    <w:p w14:paraId="33175583" w14:textId="77777777" w:rsidR="00103F5E" w:rsidRPr="00103F5E" w:rsidRDefault="00103F5E" w:rsidP="00103F5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103F5E">
        <w:rPr>
          <w:rFonts w:ascii="Times New Roman" w:hAnsi="Times New Roman"/>
          <w:bCs/>
          <w:sz w:val="20"/>
          <w:szCs w:val="20"/>
        </w:rPr>
        <w:t>Ед. измерения: тыс. рублей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6618"/>
        <w:gridCol w:w="1253"/>
      </w:tblGrid>
      <w:tr w:rsidR="00103F5E" w:rsidRPr="00103F5E" w14:paraId="57022AE6" w14:textId="77777777" w:rsidTr="007C25F5">
        <w:trPr>
          <w:trHeight w:val="60"/>
          <w:tblHeader/>
        </w:trPr>
        <w:tc>
          <w:tcPr>
            <w:tcW w:w="747" w:type="pct"/>
            <w:shd w:val="clear" w:color="auto" w:fill="auto"/>
            <w:vAlign w:val="center"/>
          </w:tcPr>
          <w:p w14:paraId="2138590F" w14:textId="77777777" w:rsidR="00103F5E" w:rsidRPr="00103F5E" w:rsidRDefault="00103F5E" w:rsidP="00103F5E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BD5F75" w14:textId="77777777" w:rsidR="00103F5E" w:rsidRPr="00103F5E" w:rsidRDefault="00103F5E" w:rsidP="00103F5E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Национальный проект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4103B829" w14:textId="77777777" w:rsidR="00103F5E" w:rsidRPr="00103F5E" w:rsidRDefault="00103F5E" w:rsidP="00103F5E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Региональный проект</w:t>
            </w:r>
          </w:p>
        </w:tc>
        <w:tc>
          <w:tcPr>
            <w:tcW w:w="671" w:type="pct"/>
          </w:tcPr>
          <w:p w14:paraId="46BCE0A0" w14:textId="77777777" w:rsidR="00103F5E" w:rsidRPr="00103F5E" w:rsidRDefault="00103F5E" w:rsidP="00103F5E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</w:p>
        </w:tc>
      </w:tr>
      <w:tr w:rsidR="00103F5E" w:rsidRPr="00103F5E" w14:paraId="0C6350B5" w14:textId="77777777" w:rsidTr="007C25F5">
        <w:trPr>
          <w:trHeight w:val="7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09348C0E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3FEDA80A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«Чистая страна»</w:t>
            </w:r>
          </w:p>
        </w:tc>
        <w:tc>
          <w:tcPr>
            <w:tcW w:w="671" w:type="pct"/>
          </w:tcPr>
          <w:p w14:paraId="1B544EE4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250 035,9</w:t>
            </w:r>
          </w:p>
        </w:tc>
      </w:tr>
      <w:tr w:rsidR="00103F5E" w:rsidRPr="00103F5E" w14:paraId="783C3D39" w14:textId="77777777" w:rsidTr="007C25F5">
        <w:trPr>
          <w:trHeight w:val="70"/>
        </w:trPr>
        <w:tc>
          <w:tcPr>
            <w:tcW w:w="747" w:type="pct"/>
            <w:vMerge/>
            <w:shd w:val="clear" w:color="auto" w:fill="auto"/>
            <w:vAlign w:val="center"/>
          </w:tcPr>
          <w:p w14:paraId="591BD4FE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14:paraId="1BC6F8AE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Hlk173227478"/>
            <w:r w:rsidRPr="00103F5E">
              <w:rPr>
                <w:rFonts w:ascii="Times New Roman" w:hAnsi="Times New Roman"/>
                <w:sz w:val="18"/>
                <w:szCs w:val="18"/>
              </w:rPr>
              <w:t>«Комплексная система обращения с твердыми коммунальными отходами»</w:t>
            </w:r>
            <w:bookmarkEnd w:id="2"/>
          </w:p>
        </w:tc>
        <w:tc>
          <w:tcPr>
            <w:tcW w:w="671" w:type="pct"/>
          </w:tcPr>
          <w:p w14:paraId="3B3EEDF9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6 929,7</w:t>
            </w:r>
          </w:p>
        </w:tc>
      </w:tr>
      <w:tr w:rsidR="00103F5E" w:rsidRPr="00103F5E" w14:paraId="0D7D18C0" w14:textId="77777777" w:rsidTr="007C25F5">
        <w:trPr>
          <w:trHeight w:val="118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3A05B6C2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F5E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582" w:type="pct"/>
            <w:shd w:val="clear" w:color="auto" w:fill="auto"/>
          </w:tcPr>
          <w:p w14:paraId="0840FE7B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«Патриотическое воспитание граждан РФ»</w:t>
            </w:r>
          </w:p>
        </w:tc>
        <w:tc>
          <w:tcPr>
            <w:tcW w:w="671" w:type="pct"/>
          </w:tcPr>
          <w:p w14:paraId="406F6B88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7 094,6</w:t>
            </w:r>
          </w:p>
        </w:tc>
      </w:tr>
      <w:tr w:rsidR="00103F5E" w:rsidRPr="00103F5E" w14:paraId="43D541C0" w14:textId="77777777" w:rsidTr="007C25F5">
        <w:trPr>
          <w:trHeight w:val="70"/>
        </w:trPr>
        <w:tc>
          <w:tcPr>
            <w:tcW w:w="747" w:type="pct"/>
            <w:vMerge/>
            <w:shd w:val="clear" w:color="auto" w:fill="auto"/>
            <w:vAlign w:val="center"/>
          </w:tcPr>
          <w:p w14:paraId="132B3726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pct"/>
            <w:shd w:val="clear" w:color="auto" w:fill="auto"/>
          </w:tcPr>
          <w:p w14:paraId="7BEF6586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«Современная школа»</w:t>
            </w:r>
          </w:p>
        </w:tc>
        <w:tc>
          <w:tcPr>
            <w:tcW w:w="671" w:type="pct"/>
          </w:tcPr>
          <w:p w14:paraId="2A16B2C7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7 641,5</w:t>
            </w:r>
          </w:p>
        </w:tc>
      </w:tr>
      <w:tr w:rsidR="00103F5E" w:rsidRPr="00103F5E" w14:paraId="51827A17" w14:textId="77777777" w:rsidTr="007C25F5">
        <w:trPr>
          <w:trHeight w:val="139"/>
        </w:trPr>
        <w:tc>
          <w:tcPr>
            <w:tcW w:w="747" w:type="pct"/>
            <w:vMerge/>
            <w:shd w:val="clear" w:color="auto" w:fill="auto"/>
            <w:vAlign w:val="center"/>
          </w:tcPr>
          <w:p w14:paraId="67484B33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2" w:type="pct"/>
            <w:shd w:val="clear" w:color="auto" w:fill="auto"/>
          </w:tcPr>
          <w:p w14:paraId="5B79C54F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«Социальная активность»</w:t>
            </w:r>
          </w:p>
        </w:tc>
        <w:tc>
          <w:tcPr>
            <w:tcW w:w="671" w:type="pct"/>
          </w:tcPr>
          <w:p w14:paraId="6993431C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103F5E" w:rsidRPr="00103F5E" w14:paraId="450076CC" w14:textId="77777777" w:rsidTr="007C25F5">
        <w:trPr>
          <w:trHeight w:val="60"/>
        </w:trPr>
        <w:tc>
          <w:tcPr>
            <w:tcW w:w="747" w:type="pct"/>
            <w:shd w:val="clear" w:color="auto" w:fill="auto"/>
            <w:vAlign w:val="center"/>
          </w:tcPr>
          <w:p w14:paraId="159293EF" w14:textId="77777777" w:rsidR="00103F5E" w:rsidRPr="00103F5E" w:rsidRDefault="00103F5E" w:rsidP="00103F5E">
            <w:pPr>
              <w:spacing w:after="0" w:line="240" w:lineRule="auto"/>
              <w:ind w:firstLine="37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582" w:type="pct"/>
            <w:shd w:val="clear" w:color="auto" w:fill="auto"/>
          </w:tcPr>
          <w:p w14:paraId="3341E78E" w14:textId="77777777" w:rsidR="00103F5E" w:rsidRPr="00103F5E" w:rsidRDefault="00103F5E" w:rsidP="00103F5E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«Культурная среда»</w:t>
            </w:r>
          </w:p>
        </w:tc>
        <w:tc>
          <w:tcPr>
            <w:tcW w:w="671" w:type="pct"/>
          </w:tcPr>
          <w:p w14:paraId="025D011D" w14:textId="77777777" w:rsidR="00103F5E" w:rsidRPr="00103F5E" w:rsidRDefault="00103F5E" w:rsidP="00103F5E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6 100,8</w:t>
            </w:r>
          </w:p>
        </w:tc>
      </w:tr>
      <w:tr w:rsidR="00103F5E" w:rsidRPr="00103F5E" w14:paraId="0BD6078E" w14:textId="77777777" w:rsidTr="007C25F5">
        <w:trPr>
          <w:trHeight w:val="225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3DDA51F8" w14:textId="77777777" w:rsidR="00103F5E" w:rsidRPr="00103F5E" w:rsidRDefault="00103F5E" w:rsidP="0010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F5E">
              <w:rPr>
                <w:rFonts w:ascii="Times New Roman" w:hAnsi="Times New Roman"/>
                <w:sz w:val="18"/>
                <w:szCs w:val="18"/>
                <w:lang w:eastAsia="ru-RU"/>
              </w:rPr>
              <w:t>Демография</w:t>
            </w:r>
          </w:p>
        </w:tc>
        <w:tc>
          <w:tcPr>
            <w:tcW w:w="3582" w:type="pct"/>
            <w:shd w:val="clear" w:color="auto" w:fill="auto"/>
          </w:tcPr>
          <w:p w14:paraId="7B876A1C" w14:textId="77777777" w:rsidR="00103F5E" w:rsidRPr="00103F5E" w:rsidRDefault="00103F5E" w:rsidP="00103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Hlk173226717"/>
            <w:r w:rsidRPr="00103F5E">
              <w:rPr>
                <w:rFonts w:ascii="Times New Roman" w:hAnsi="Times New Roman"/>
                <w:sz w:val="18"/>
                <w:szCs w:val="18"/>
              </w:rPr>
              <w:t>«Разработка и реализация программы системной поддержки и повышения качества жизни граждан старшего поколения»</w:t>
            </w:r>
            <w:bookmarkEnd w:id="3"/>
          </w:p>
        </w:tc>
        <w:tc>
          <w:tcPr>
            <w:tcW w:w="671" w:type="pct"/>
          </w:tcPr>
          <w:p w14:paraId="14FEBE45" w14:textId="77777777" w:rsidR="00103F5E" w:rsidRPr="00103F5E" w:rsidRDefault="00103F5E" w:rsidP="00103F5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12 091,2</w:t>
            </w:r>
          </w:p>
        </w:tc>
      </w:tr>
      <w:tr w:rsidR="00103F5E" w:rsidRPr="00103F5E" w14:paraId="2E3AC8E6" w14:textId="77777777" w:rsidTr="007C25F5">
        <w:trPr>
          <w:trHeight w:val="225"/>
        </w:trPr>
        <w:tc>
          <w:tcPr>
            <w:tcW w:w="747" w:type="pct"/>
            <w:vMerge/>
            <w:shd w:val="clear" w:color="auto" w:fill="auto"/>
            <w:vAlign w:val="center"/>
          </w:tcPr>
          <w:p w14:paraId="2CEC85B0" w14:textId="77777777" w:rsidR="00103F5E" w:rsidRPr="00103F5E" w:rsidRDefault="00103F5E" w:rsidP="0010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pct"/>
            <w:shd w:val="clear" w:color="auto" w:fill="auto"/>
          </w:tcPr>
          <w:p w14:paraId="08D18622" w14:textId="77777777" w:rsidR="00103F5E" w:rsidRPr="00103F5E" w:rsidRDefault="00103F5E" w:rsidP="00103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«Финансовая поддержка семей при рождении детей»</w:t>
            </w:r>
          </w:p>
        </w:tc>
        <w:tc>
          <w:tcPr>
            <w:tcW w:w="671" w:type="pct"/>
          </w:tcPr>
          <w:p w14:paraId="69138DFB" w14:textId="77777777" w:rsidR="00103F5E" w:rsidRPr="00103F5E" w:rsidRDefault="00103F5E" w:rsidP="00103F5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  <w:lang w:val="en-US"/>
              </w:rPr>
              <w:t>4 112</w:t>
            </w:r>
            <w:r w:rsidRPr="00103F5E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</w:tr>
      <w:tr w:rsidR="00103F5E" w:rsidRPr="00103F5E" w14:paraId="2767BC1B" w14:textId="77777777" w:rsidTr="007C25F5">
        <w:trPr>
          <w:trHeight w:val="693"/>
        </w:trPr>
        <w:tc>
          <w:tcPr>
            <w:tcW w:w="747" w:type="pct"/>
            <w:vMerge/>
            <w:shd w:val="clear" w:color="auto" w:fill="auto"/>
            <w:vAlign w:val="center"/>
          </w:tcPr>
          <w:p w14:paraId="2039FCEB" w14:textId="77777777" w:rsidR="00103F5E" w:rsidRPr="00103F5E" w:rsidRDefault="00103F5E" w:rsidP="0010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14:paraId="6BA88348" w14:textId="77777777" w:rsidR="00103F5E" w:rsidRPr="00103F5E" w:rsidRDefault="00103F5E" w:rsidP="00103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_Hlk173227679"/>
            <w:r w:rsidRPr="00103F5E">
              <w:rPr>
                <w:rFonts w:ascii="Times New Roman" w:hAnsi="Times New Roman"/>
                <w:sz w:val="18"/>
                <w:szCs w:val="18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  <w:bookmarkEnd w:id="4"/>
          </w:p>
        </w:tc>
        <w:tc>
          <w:tcPr>
            <w:tcW w:w="671" w:type="pct"/>
          </w:tcPr>
          <w:p w14:paraId="3AC15F09" w14:textId="77777777" w:rsidR="00103F5E" w:rsidRPr="00103F5E" w:rsidRDefault="00103F5E" w:rsidP="00103F5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2 973,2</w:t>
            </w:r>
          </w:p>
        </w:tc>
      </w:tr>
      <w:tr w:rsidR="00103F5E" w:rsidRPr="00103F5E" w14:paraId="0A088D15" w14:textId="77777777" w:rsidTr="007C25F5">
        <w:trPr>
          <w:trHeight w:val="446"/>
        </w:trPr>
        <w:tc>
          <w:tcPr>
            <w:tcW w:w="747" w:type="pct"/>
            <w:shd w:val="clear" w:color="auto" w:fill="auto"/>
            <w:vAlign w:val="center"/>
          </w:tcPr>
          <w:p w14:paraId="51A8177F" w14:textId="77777777" w:rsidR="00103F5E" w:rsidRPr="00103F5E" w:rsidRDefault="00103F5E" w:rsidP="0010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3F5E">
              <w:rPr>
                <w:rFonts w:ascii="Times New Roman" w:hAnsi="Times New Roman"/>
                <w:sz w:val="18"/>
                <w:szCs w:val="18"/>
                <w:lang w:eastAsia="ru-RU"/>
              </w:rPr>
              <w:t>Жилье и городская среда</w:t>
            </w:r>
          </w:p>
        </w:tc>
        <w:tc>
          <w:tcPr>
            <w:tcW w:w="3582" w:type="pct"/>
            <w:shd w:val="clear" w:color="auto" w:fill="auto"/>
          </w:tcPr>
          <w:p w14:paraId="389A4C1D" w14:textId="77777777" w:rsidR="00103F5E" w:rsidRPr="00103F5E" w:rsidRDefault="00103F5E" w:rsidP="00103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_Hlk173227264"/>
            <w:r w:rsidRPr="00103F5E">
              <w:rPr>
                <w:rFonts w:ascii="Times New Roman" w:hAnsi="Times New Roman"/>
                <w:sz w:val="18"/>
                <w:szCs w:val="18"/>
              </w:rPr>
              <w:t>«Формирование комфортной городской среды»</w:t>
            </w:r>
            <w:bookmarkEnd w:id="5"/>
          </w:p>
        </w:tc>
        <w:tc>
          <w:tcPr>
            <w:tcW w:w="671" w:type="pct"/>
          </w:tcPr>
          <w:p w14:paraId="1266BA5F" w14:textId="77777777" w:rsidR="00103F5E" w:rsidRPr="00103F5E" w:rsidRDefault="00103F5E" w:rsidP="00103F5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F5E">
              <w:rPr>
                <w:rFonts w:ascii="Times New Roman" w:hAnsi="Times New Roman"/>
                <w:sz w:val="18"/>
                <w:szCs w:val="18"/>
              </w:rPr>
              <w:t>77 779,6</w:t>
            </w:r>
          </w:p>
        </w:tc>
      </w:tr>
      <w:tr w:rsidR="00103F5E" w:rsidRPr="00103F5E" w14:paraId="158ACB8E" w14:textId="77777777" w:rsidTr="007C25F5">
        <w:trPr>
          <w:trHeight w:val="113"/>
        </w:trPr>
        <w:tc>
          <w:tcPr>
            <w:tcW w:w="4329" w:type="pct"/>
            <w:gridSpan w:val="2"/>
            <w:shd w:val="clear" w:color="auto" w:fill="auto"/>
            <w:vAlign w:val="center"/>
          </w:tcPr>
          <w:p w14:paraId="05190572" w14:textId="77777777" w:rsidR="00103F5E" w:rsidRPr="00103F5E" w:rsidRDefault="00103F5E" w:rsidP="00103F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3F5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71" w:type="pct"/>
          </w:tcPr>
          <w:p w14:paraId="2BF29D57" w14:textId="77777777" w:rsidR="00103F5E" w:rsidRPr="00103F5E" w:rsidRDefault="00103F5E" w:rsidP="0010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3F5E">
              <w:rPr>
                <w:rFonts w:ascii="Times New Roman" w:hAnsi="Times New Roman"/>
                <w:b/>
                <w:bCs/>
                <w:sz w:val="18"/>
                <w:szCs w:val="18"/>
              </w:rPr>
              <w:t>375 153,6</w:t>
            </w:r>
          </w:p>
        </w:tc>
      </w:tr>
    </w:tbl>
    <w:p w14:paraId="08AFBBDD" w14:textId="77777777" w:rsidR="00103F5E" w:rsidRDefault="00103F5E" w:rsidP="00103F5E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7EDF32DE" w14:textId="77777777" w:rsidR="009905C7" w:rsidRDefault="009905C7" w:rsidP="00103F5E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0BAF995C" w14:textId="77777777" w:rsidR="009905C7" w:rsidRPr="00103F5E" w:rsidRDefault="009905C7" w:rsidP="00103F5E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681DAD8C" w14:textId="77777777" w:rsidR="00772F89" w:rsidRPr="00A218C0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6" w:name="_Hlk180746834"/>
      <w:r>
        <w:rPr>
          <w:rFonts w:ascii="Times New Roman" w:hAnsi="Times New Roman"/>
          <w:bCs/>
          <w:sz w:val="28"/>
          <w:szCs w:val="28"/>
        </w:rPr>
        <w:lastRenderedPageBreak/>
        <w:t>И</w:t>
      </w:r>
      <w:r w:rsidRPr="00A218C0">
        <w:rPr>
          <w:rFonts w:ascii="Times New Roman" w:hAnsi="Times New Roman"/>
          <w:bCs/>
          <w:sz w:val="28"/>
          <w:szCs w:val="28"/>
        </w:rPr>
        <w:t>сточн</w:t>
      </w:r>
      <w:r>
        <w:rPr>
          <w:rFonts w:ascii="Times New Roman" w:hAnsi="Times New Roman"/>
          <w:bCs/>
          <w:sz w:val="28"/>
          <w:szCs w:val="28"/>
        </w:rPr>
        <w:t>ики</w:t>
      </w:r>
      <w:r w:rsidRPr="00A218C0">
        <w:rPr>
          <w:rFonts w:ascii="Times New Roman" w:hAnsi="Times New Roman"/>
          <w:bCs/>
          <w:sz w:val="28"/>
          <w:szCs w:val="28"/>
        </w:rPr>
        <w:t xml:space="preserve"> финансирования</w:t>
      </w:r>
      <w:r>
        <w:rPr>
          <w:rFonts w:ascii="Times New Roman" w:hAnsi="Times New Roman"/>
          <w:bCs/>
          <w:sz w:val="28"/>
          <w:szCs w:val="28"/>
        </w:rPr>
        <w:t xml:space="preserve"> бюджетных расходов</w:t>
      </w:r>
      <w:r w:rsidRPr="00A218C0">
        <w:rPr>
          <w:rFonts w:ascii="Times New Roman" w:hAnsi="Times New Roman"/>
          <w:bCs/>
          <w:sz w:val="28"/>
          <w:szCs w:val="28"/>
        </w:rPr>
        <w:t>:</w:t>
      </w:r>
    </w:p>
    <w:p w14:paraId="5597BE7B" w14:textId="77777777" w:rsidR="00772F89" w:rsidRPr="00A218C0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18C0">
        <w:rPr>
          <w:rFonts w:ascii="Times New Roman" w:hAnsi="Times New Roman"/>
          <w:bCs/>
          <w:sz w:val="28"/>
          <w:szCs w:val="28"/>
        </w:rPr>
        <w:t>- средства федерального бюджета – 270 017,6 тыс. рублей или 72%;</w:t>
      </w:r>
    </w:p>
    <w:p w14:paraId="397360BB" w14:textId="77777777" w:rsidR="00772F89" w:rsidRPr="00A218C0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18C0">
        <w:rPr>
          <w:rFonts w:ascii="Times New Roman" w:hAnsi="Times New Roman"/>
          <w:bCs/>
          <w:sz w:val="28"/>
          <w:szCs w:val="28"/>
        </w:rPr>
        <w:t>- средства областного бюджета – 64 688,6 тыс. рублей или 17,2%;</w:t>
      </w:r>
    </w:p>
    <w:p w14:paraId="1A52BCEE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18C0">
        <w:rPr>
          <w:rFonts w:ascii="Times New Roman" w:hAnsi="Times New Roman"/>
          <w:bCs/>
          <w:sz w:val="28"/>
          <w:szCs w:val="28"/>
        </w:rPr>
        <w:t>- средства местного бюджета – 40 447,4 тыс. рублей или 10,8%.</w:t>
      </w:r>
    </w:p>
    <w:p w14:paraId="7326A583" w14:textId="77777777" w:rsidR="00772F89" w:rsidRPr="006F4FC2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структуре региональных проектов</w:t>
      </w:r>
      <w:r>
        <w:rPr>
          <w:rFonts w:ascii="Times New Roman" w:hAnsi="Times New Roman"/>
          <w:noProof/>
          <w:sz w:val="28"/>
          <w:szCs w:val="28"/>
        </w:rPr>
        <w:t xml:space="preserve"> наибольшая </w:t>
      </w:r>
      <w:r w:rsidRPr="006D55DE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D55DE">
        <w:rPr>
          <w:rFonts w:ascii="Times New Roman" w:hAnsi="Times New Roman"/>
          <w:sz w:val="28"/>
          <w:szCs w:val="28"/>
        </w:rPr>
        <w:t xml:space="preserve">бюджетных расходов </w:t>
      </w:r>
      <w:r>
        <w:rPr>
          <w:rFonts w:ascii="Times New Roman" w:hAnsi="Times New Roman"/>
          <w:sz w:val="28"/>
          <w:szCs w:val="28"/>
        </w:rPr>
        <w:t>запланирована</w:t>
      </w:r>
      <w:r w:rsidRPr="006D55DE">
        <w:rPr>
          <w:rFonts w:ascii="Times New Roman" w:hAnsi="Times New Roman"/>
          <w:sz w:val="28"/>
          <w:szCs w:val="28"/>
        </w:rPr>
        <w:t xml:space="preserve"> на реализацию</w:t>
      </w:r>
      <w:r>
        <w:rPr>
          <w:rFonts w:ascii="Times New Roman" w:hAnsi="Times New Roman"/>
          <w:sz w:val="28"/>
          <w:szCs w:val="28"/>
        </w:rPr>
        <w:t xml:space="preserve"> регионального проекта </w:t>
      </w:r>
      <w:r w:rsidRPr="00A361F5">
        <w:rPr>
          <w:rFonts w:ascii="Times New Roman" w:hAnsi="Times New Roman"/>
          <w:sz w:val="28"/>
          <w:szCs w:val="28"/>
        </w:rPr>
        <w:t xml:space="preserve">«Чистая страна» </w:t>
      </w:r>
      <w:r>
        <w:rPr>
          <w:rFonts w:ascii="Times New Roman" w:hAnsi="Times New Roman"/>
          <w:sz w:val="28"/>
          <w:szCs w:val="28"/>
        </w:rPr>
        <w:t xml:space="preserve">- 66,6% и регионального проекта </w:t>
      </w:r>
      <w:r w:rsidRPr="00A361F5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- 20,7%.</w:t>
      </w:r>
    </w:p>
    <w:p w14:paraId="2CA8957E" w14:textId="5C3599B4" w:rsidR="00772F89" w:rsidRDefault="00D437B7" w:rsidP="00D437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2F89">
        <w:rPr>
          <w:rFonts w:ascii="Times New Roman" w:hAnsi="Times New Roman"/>
          <w:sz w:val="28"/>
          <w:szCs w:val="28"/>
        </w:rPr>
        <w:t>Бюджетные ассигнования распределены между шестью главными распорядителями бюджетных средств, наибольшая доля которых запланирована Администрации ЗГО (66,6%), Управлению ЖКХ (22,6%).</w:t>
      </w:r>
    </w:p>
    <w:p w14:paraId="5A7BC2D6" w14:textId="77777777" w:rsidR="00772F89" w:rsidRPr="00B957FB" w:rsidRDefault="00772F89" w:rsidP="00772F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F4FC2">
        <w:rPr>
          <w:rFonts w:ascii="Times New Roman" w:hAnsi="Times New Roman"/>
          <w:sz w:val="28"/>
          <w:szCs w:val="28"/>
        </w:rPr>
        <w:t xml:space="preserve">В рамках реализации региональных проектов за </w:t>
      </w:r>
      <w:r>
        <w:rPr>
          <w:rFonts w:ascii="Times New Roman" w:hAnsi="Times New Roman"/>
          <w:sz w:val="28"/>
          <w:szCs w:val="28"/>
        </w:rPr>
        <w:t>9 месяцев</w:t>
      </w:r>
      <w:r w:rsidRPr="006F4FC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F4FC2">
        <w:rPr>
          <w:rFonts w:ascii="Times New Roman" w:hAnsi="Times New Roman"/>
          <w:sz w:val="28"/>
          <w:szCs w:val="28"/>
        </w:rPr>
        <w:t xml:space="preserve"> г.  кассовое исполнение расходов составило </w:t>
      </w:r>
      <w:r>
        <w:rPr>
          <w:rFonts w:ascii="Times New Roman" w:hAnsi="Times New Roman"/>
          <w:sz w:val="28"/>
          <w:szCs w:val="28"/>
        </w:rPr>
        <w:t>39 129,0</w:t>
      </w:r>
      <w:r w:rsidRPr="006F4FC2">
        <w:rPr>
          <w:rFonts w:ascii="Times New Roman" w:hAnsi="Times New Roman"/>
          <w:sz w:val="28"/>
          <w:szCs w:val="28"/>
        </w:rPr>
        <w:t xml:space="preserve"> тыс. рублей (или </w:t>
      </w:r>
      <w:r>
        <w:rPr>
          <w:rFonts w:ascii="Times New Roman" w:hAnsi="Times New Roman"/>
          <w:sz w:val="28"/>
          <w:szCs w:val="28"/>
        </w:rPr>
        <w:t>10,4</w:t>
      </w:r>
      <w:r w:rsidRPr="006F4FC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F4FC2">
        <w:rPr>
          <w:rFonts w:ascii="Times New Roman" w:hAnsi="Times New Roman"/>
          <w:sz w:val="28"/>
          <w:szCs w:val="28"/>
        </w:rPr>
        <w:t>от годового планового объема)</w:t>
      </w:r>
      <w:bookmarkStart w:id="7" w:name="_Hlk66191298"/>
      <w:r>
        <w:rPr>
          <w:rFonts w:ascii="Times New Roman" w:hAnsi="Times New Roman"/>
          <w:sz w:val="28"/>
          <w:szCs w:val="28"/>
        </w:rPr>
        <w:t>. П</w:t>
      </w:r>
      <w:r w:rsidRPr="00D174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49D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ому</w:t>
      </w:r>
      <w:r w:rsidRPr="00D1749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D17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«Чистая страна» </w:t>
      </w:r>
      <w:r w:rsidRPr="00D1749D">
        <w:rPr>
          <w:rFonts w:ascii="Times New Roman" w:hAnsi="Times New Roman"/>
          <w:sz w:val="28"/>
          <w:szCs w:val="28"/>
        </w:rPr>
        <w:t>кассовые расходы не осуществлялись</w:t>
      </w:r>
      <w:r w:rsidRPr="00B957FB">
        <w:rPr>
          <w:rFonts w:ascii="Times New Roman" w:hAnsi="Times New Roman"/>
          <w:sz w:val="28"/>
          <w:szCs w:val="28"/>
        </w:rPr>
        <w:t xml:space="preserve"> в связи с тем, что сроки исполнения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B957FB">
        <w:rPr>
          <w:rFonts w:ascii="Times New Roman" w:hAnsi="Times New Roman"/>
          <w:sz w:val="28"/>
          <w:szCs w:val="28"/>
        </w:rPr>
        <w:t>униципальных контрактов, заключенных в целях реализации мероприятий запланированы на Ⅳ квартал 2024 года.</w:t>
      </w:r>
    </w:p>
    <w:p w14:paraId="58EE7132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EF0B01">
        <w:rPr>
          <w:rFonts w:ascii="Times New Roman" w:hAnsi="Times New Roman"/>
          <w:bCs/>
          <w:sz w:val="28"/>
          <w:szCs w:val="28"/>
        </w:rPr>
        <w:t>.</w:t>
      </w:r>
      <w:r w:rsidRPr="00DB5DDA">
        <w:rPr>
          <w:rFonts w:ascii="Times New Roman" w:hAnsi="Times New Roman"/>
          <w:bCs/>
          <w:sz w:val="28"/>
          <w:szCs w:val="28"/>
        </w:rPr>
        <w:t xml:space="preserve"> </w:t>
      </w:r>
      <w:r w:rsidRPr="00B17F07">
        <w:rPr>
          <w:rFonts w:ascii="Times New Roman" w:hAnsi="Times New Roman"/>
          <w:bCs/>
          <w:sz w:val="28"/>
          <w:szCs w:val="28"/>
        </w:rPr>
        <w:t xml:space="preserve">Уровень контрактации за </w:t>
      </w:r>
      <w:r>
        <w:rPr>
          <w:rFonts w:ascii="Times New Roman" w:hAnsi="Times New Roman"/>
          <w:bCs/>
          <w:sz w:val="28"/>
          <w:szCs w:val="28"/>
        </w:rPr>
        <w:t>9 месяцев</w:t>
      </w:r>
      <w:r w:rsidRPr="00B17F07">
        <w:rPr>
          <w:rFonts w:ascii="Times New Roman" w:hAnsi="Times New Roman"/>
          <w:bCs/>
          <w:sz w:val="28"/>
          <w:szCs w:val="28"/>
        </w:rPr>
        <w:t xml:space="preserve"> 2024г. является достаточно высоким и составляет 9</w:t>
      </w:r>
      <w:r>
        <w:rPr>
          <w:rFonts w:ascii="Times New Roman" w:hAnsi="Times New Roman"/>
          <w:bCs/>
          <w:sz w:val="28"/>
          <w:szCs w:val="28"/>
        </w:rPr>
        <w:t>6</w:t>
      </w:r>
      <w:r w:rsidRPr="00B17F0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5</w:t>
      </w:r>
      <w:r w:rsidRPr="00B17F07">
        <w:rPr>
          <w:rFonts w:ascii="Times New Roman" w:hAnsi="Times New Roman"/>
          <w:bCs/>
          <w:sz w:val="28"/>
          <w:szCs w:val="28"/>
        </w:rPr>
        <w:t>% от годового плана.</w:t>
      </w:r>
    </w:p>
    <w:p w14:paraId="4E7962C1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21F2">
        <w:rPr>
          <w:rFonts w:ascii="Times New Roman" w:hAnsi="Times New Roman"/>
          <w:bCs/>
          <w:sz w:val="28"/>
          <w:szCs w:val="28"/>
        </w:rPr>
        <w:t xml:space="preserve">По результатам осуществления конкурентных способов закупки экономия средств бюджета, предусмотренных на реализацию региональных проектов, составила в общей сумме </w:t>
      </w:r>
      <w:r w:rsidRPr="00E314E6">
        <w:rPr>
          <w:rFonts w:ascii="Times New Roman" w:hAnsi="Times New Roman"/>
          <w:bCs/>
          <w:sz w:val="28"/>
          <w:szCs w:val="28"/>
        </w:rPr>
        <w:t>8 459,4</w:t>
      </w:r>
      <w:r w:rsidRPr="009D21F2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14:paraId="21CE6CEB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Свободный остаток не законтрактованных бюджетных ассигнований сложился по трем региональным проектам:</w:t>
      </w:r>
    </w:p>
    <w:p w14:paraId="07352EF1" w14:textId="77777777" w:rsidR="00772F89" w:rsidRPr="00487C9D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региональный проект «Чистая страна» (Администрация ЗГО) в сумме 1 249,2 тыс. рублей </w:t>
      </w:r>
      <w:r w:rsidRPr="00487C9D">
        <w:rPr>
          <w:rFonts w:ascii="Times New Roman" w:hAnsi="Times New Roman"/>
          <w:bCs/>
          <w:sz w:val="28"/>
          <w:szCs w:val="28"/>
        </w:rPr>
        <w:t>(часть данных средс</w:t>
      </w:r>
      <w:r>
        <w:rPr>
          <w:rFonts w:ascii="Times New Roman" w:hAnsi="Times New Roman"/>
          <w:bCs/>
          <w:sz w:val="28"/>
          <w:szCs w:val="28"/>
        </w:rPr>
        <w:t>тв в размере 369,8 тыс. рублей планируется направить на оплату</w:t>
      </w:r>
      <w:r w:rsidRPr="00487C9D">
        <w:rPr>
          <w:rFonts w:ascii="Times New Roman" w:hAnsi="Times New Roman"/>
          <w:bCs/>
          <w:sz w:val="28"/>
          <w:szCs w:val="28"/>
        </w:rPr>
        <w:t xml:space="preserve"> подрядной организации</w:t>
      </w:r>
      <w:r>
        <w:rPr>
          <w:rFonts w:ascii="Times New Roman" w:hAnsi="Times New Roman"/>
          <w:bCs/>
          <w:sz w:val="28"/>
          <w:szCs w:val="28"/>
        </w:rPr>
        <w:t>, о</w:t>
      </w:r>
      <w:r w:rsidRPr="00487C9D">
        <w:rPr>
          <w:rFonts w:ascii="Times New Roman" w:hAnsi="Times New Roman"/>
          <w:bCs/>
          <w:sz w:val="28"/>
          <w:szCs w:val="28"/>
        </w:rPr>
        <w:t>ставши</w:t>
      </w:r>
      <w:r>
        <w:rPr>
          <w:rFonts w:ascii="Times New Roman" w:hAnsi="Times New Roman"/>
          <w:bCs/>
          <w:sz w:val="28"/>
          <w:szCs w:val="28"/>
        </w:rPr>
        <w:t>еся</w:t>
      </w:r>
      <w:r w:rsidRPr="00487C9D">
        <w:rPr>
          <w:rFonts w:ascii="Times New Roman" w:hAnsi="Times New Roman"/>
          <w:bCs/>
          <w:sz w:val="28"/>
          <w:szCs w:val="28"/>
        </w:rPr>
        <w:t xml:space="preserve"> средства </w:t>
      </w:r>
      <w:r>
        <w:rPr>
          <w:rFonts w:ascii="Times New Roman" w:hAnsi="Times New Roman"/>
          <w:bCs/>
          <w:sz w:val="28"/>
          <w:szCs w:val="28"/>
        </w:rPr>
        <w:t xml:space="preserve">планируется использовать </w:t>
      </w:r>
      <w:r w:rsidRPr="00487C9D">
        <w:rPr>
          <w:rFonts w:ascii="Times New Roman" w:hAnsi="Times New Roman"/>
          <w:bCs/>
          <w:sz w:val="28"/>
          <w:szCs w:val="28"/>
        </w:rPr>
        <w:t>для работ по выполнению производственного экологического контроля в пост рекультивационный период)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E56968A" w14:textId="2D6BBADF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региональный проект «Современная школа» (Управление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образования) </w:t>
      </w:r>
      <w:r w:rsidR="00E22C7E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22C7E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в сумме 1 215,1 тыс. рублей (</w:t>
      </w:r>
      <w:r>
        <w:rPr>
          <w:rFonts w:ascii="Times New Roman" w:hAnsi="Times New Roman"/>
          <w:sz w:val="28"/>
          <w:szCs w:val="28"/>
        </w:rPr>
        <w:t xml:space="preserve">планируется произвести </w:t>
      </w:r>
      <w:r w:rsidRPr="00487C9D">
        <w:rPr>
          <w:rFonts w:ascii="Times New Roman" w:hAnsi="Times New Roman"/>
          <w:sz w:val="28"/>
          <w:szCs w:val="28"/>
        </w:rPr>
        <w:t>возврат в бюджет</w:t>
      </w:r>
      <w:r>
        <w:rPr>
          <w:rFonts w:ascii="Times New Roman" w:hAnsi="Times New Roman"/>
          <w:sz w:val="28"/>
          <w:szCs w:val="28"/>
        </w:rPr>
        <w:t xml:space="preserve"> Челябинской области);</w:t>
      </w:r>
    </w:p>
    <w:p w14:paraId="7AD9EE71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региональный проект «Формирование комфортной городской среды» (Управление ЖКХ) в сумме 7 600,6 тыс. рублей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«О внесении изменений в 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>бюджет Златоустовского городского округа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>2025 и 2026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планируется уменьшение объема </w:t>
      </w:r>
      <w:r w:rsidRPr="00741114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7"/>
    <w:p w14:paraId="159D5BBD" w14:textId="77777777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FC017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В рамках регионального проекта «Формирование комфортной городской среды» по всем трем общественным территориям и семи дворовым территориям подрядчиками нарушены сроки выполнения работ, предусмотренные контрактами.  </w:t>
      </w:r>
    </w:p>
    <w:p w14:paraId="1DBA81CC" w14:textId="019BFC6B" w:rsidR="00772F89" w:rsidRDefault="00772F89" w:rsidP="00772F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В нарушение требований статьи 95 Закона о контрактной системе Управлением ЖКХ внесены изменения в существенные условия муниципального контракта, в </w:t>
      </w:r>
      <w:r w:rsidRPr="00DD25DA">
        <w:rPr>
          <w:rFonts w:ascii="Times New Roman" w:hAnsi="Times New Roman"/>
          <w:bCs/>
          <w:sz w:val="28"/>
          <w:szCs w:val="28"/>
        </w:rPr>
        <w:t xml:space="preserve">части </w:t>
      </w:r>
      <w:r>
        <w:rPr>
          <w:rFonts w:ascii="Times New Roman" w:hAnsi="Times New Roman"/>
          <w:bCs/>
          <w:sz w:val="28"/>
          <w:szCs w:val="28"/>
        </w:rPr>
        <w:t>увеличения</w:t>
      </w:r>
      <w:r w:rsidRPr="00DD25DA">
        <w:rPr>
          <w:rFonts w:ascii="Times New Roman" w:hAnsi="Times New Roman"/>
          <w:bCs/>
          <w:sz w:val="28"/>
          <w:szCs w:val="28"/>
        </w:rPr>
        <w:t xml:space="preserve"> срока выполнения работ по </w:t>
      </w:r>
      <w:r>
        <w:rPr>
          <w:rFonts w:ascii="Times New Roman" w:hAnsi="Times New Roman"/>
          <w:bCs/>
          <w:sz w:val="28"/>
          <w:szCs w:val="28"/>
        </w:rPr>
        <w:t xml:space="preserve">благоустройству </w:t>
      </w:r>
      <w:r w:rsidRPr="00DD25DA">
        <w:rPr>
          <w:rFonts w:ascii="Times New Roman" w:hAnsi="Times New Roman"/>
          <w:bCs/>
          <w:sz w:val="28"/>
          <w:szCs w:val="28"/>
        </w:rPr>
        <w:t>общественной территории в районе площади 3-го Интернационала, 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исключив право заказчика на взыскание пени в размере 136,8 тыс. рублей за нарушение подрядчиком сроков выполнения работ</w:t>
      </w:r>
      <w:r w:rsidRPr="00DD25DA">
        <w:rPr>
          <w:rFonts w:ascii="Times New Roman" w:hAnsi="Times New Roman"/>
          <w:bCs/>
          <w:sz w:val="28"/>
          <w:szCs w:val="28"/>
        </w:rPr>
        <w:t xml:space="preserve">. </w:t>
      </w:r>
    </w:p>
    <w:p w14:paraId="26D9F5EF" w14:textId="60E314B8" w:rsidR="001D66B5" w:rsidRPr="00C12705" w:rsidRDefault="00772F89" w:rsidP="00C12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Pr="00B77F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условий заключенных контрактов основная часть кассовых расходов участников бюджетного процесса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(более 66,6%) </w:t>
      </w:r>
      <w:r w:rsidRPr="00B17F07">
        <w:rPr>
          <w:rFonts w:ascii="Times New Roman" w:hAnsi="Times New Roman"/>
          <w:color w:val="000000"/>
          <w:sz w:val="28"/>
          <w:szCs w:val="28"/>
        </w:rPr>
        <w:t xml:space="preserve">ожидается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17F07">
        <w:rPr>
          <w:rFonts w:ascii="Times New Roman" w:hAnsi="Times New Roman"/>
          <w:color w:val="000000"/>
          <w:sz w:val="28"/>
          <w:szCs w:val="28"/>
        </w:rPr>
        <w:t>в</w:t>
      </w:r>
      <w:r w:rsidRPr="00B1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квартал</w:t>
      </w:r>
      <w:r w:rsidRPr="00B17F07">
        <w:rPr>
          <w:rFonts w:ascii="Times New Roman" w:hAnsi="Times New Roman"/>
          <w:color w:val="000000"/>
          <w:sz w:val="28"/>
          <w:szCs w:val="28"/>
        </w:rPr>
        <w:t>е</w:t>
      </w:r>
      <w:r w:rsidRPr="00B1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основном за счет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</w:t>
      </w:r>
      <w:r w:rsidRPr="00B1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 регионального проекта «Чистая стана».</w:t>
      </w:r>
      <w:bookmarkEnd w:id="6"/>
      <w:r w:rsidR="001D66B5">
        <w:rPr>
          <w:rFonts w:ascii="Times New Roman" w:hAnsi="Times New Roman"/>
          <w:sz w:val="28"/>
          <w:szCs w:val="28"/>
        </w:rPr>
        <w:tab/>
      </w:r>
      <w:r w:rsidR="001D66B5">
        <w:rPr>
          <w:rFonts w:ascii="Times New Roman" w:hAnsi="Times New Roman"/>
          <w:sz w:val="28"/>
          <w:szCs w:val="28"/>
        </w:rPr>
        <w:tab/>
      </w:r>
      <w:r w:rsidR="001D66B5">
        <w:rPr>
          <w:rFonts w:ascii="Times New Roman" w:hAnsi="Times New Roman"/>
          <w:sz w:val="28"/>
          <w:szCs w:val="28"/>
        </w:rPr>
        <w:tab/>
        <w:t xml:space="preserve">     </w:t>
      </w:r>
      <w:r w:rsidR="001D66B5">
        <w:rPr>
          <w:rFonts w:ascii="Times New Roman" w:hAnsi="Times New Roman"/>
          <w:sz w:val="28"/>
          <w:szCs w:val="28"/>
        </w:rPr>
        <w:tab/>
      </w:r>
      <w:r w:rsidR="001D66B5">
        <w:rPr>
          <w:rFonts w:ascii="Times New Roman" w:hAnsi="Times New Roman"/>
          <w:sz w:val="28"/>
          <w:szCs w:val="28"/>
        </w:rPr>
        <w:tab/>
        <w:t xml:space="preserve">           </w:t>
      </w:r>
    </w:p>
    <w:bookmarkEnd w:id="0"/>
    <w:p w14:paraId="57768605" w14:textId="77777777" w:rsidR="009905C7" w:rsidRDefault="009905C7"/>
    <w:p w14:paraId="33FE7FFA" w14:textId="77777777" w:rsidR="009905C7" w:rsidRDefault="009905C7"/>
    <w:p w14:paraId="6D2367DF" w14:textId="77777777" w:rsidR="009905C7" w:rsidRPr="009905C7" w:rsidRDefault="009905C7" w:rsidP="00990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Председатель</w:t>
      </w:r>
      <w:r w:rsidRPr="009905C7">
        <w:rPr>
          <w:rFonts w:ascii="Times New Roman" w:hAnsi="Times New Roman"/>
          <w:sz w:val="28"/>
          <w:szCs w:val="28"/>
        </w:rPr>
        <w:tab/>
      </w:r>
      <w:r w:rsidRPr="009905C7">
        <w:rPr>
          <w:rFonts w:ascii="Times New Roman" w:hAnsi="Times New Roman"/>
          <w:sz w:val="28"/>
          <w:szCs w:val="28"/>
        </w:rPr>
        <w:tab/>
      </w:r>
      <w:r w:rsidRPr="009905C7">
        <w:rPr>
          <w:rFonts w:ascii="Times New Roman" w:hAnsi="Times New Roman"/>
          <w:sz w:val="28"/>
          <w:szCs w:val="28"/>
        </w:rPr>
        <w:tab/>
      </w:r>
      <w:r w:rsidRPr="009905C7">
        <w:rPr>
          <w:rFonts w:ascii="Times New Roman" w:hAnsi="Times New Roman"/>
          <w:sz w:val="28"/>
          <w:szCs w:val="28"/>
        </w:rPr>
        <w:tab/>
      </w:r>
      <w:r w:rsidRPr="009905C7">
        <w:rPr>
          <w:rFonts w:ascii="Times New Roman" w:hAnsi="Times New Roman"/>
          <w:sz w:val="28"/>
          <w:szCs w:val="28"/>
        </w:rPr>
        <w:tab/>
        <w:t xml:space="preserve"> О. С. Кальчук</w:t>
      </w:r>
    </w:p>
    <w:p w14:paraId="1D398DA4" w14:textId="77777777" w:rsidR="009905C7" w:rsidRDefault="009905C7"/>
    <w:sectPr w:rsidR="009905C7" w:rsidSect="0005242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207C"/>
    <w:multiLevelType w:val="hybridMultilevel"/>
    <w:tmpl w:val="EF1A3E9E"/>
    <w:lvl w:ilvl="0" w:tplc="308E1DB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22"/>
    <w:rsid w:val="00052422"/>
    <w:rsid w:val="00103F5E"/>
    <w:rsid w:val="001D66B5"/>
    <w:rsid w:val="00264FAE"/>
    <w:rsid w:val="002B5C38"/>
    <w:rsid w:val="00407D9C"/>
    <w:rsid w:val="004D1185"/>
    <w:rsid w:val="00574FAD"/>
    <w:rsid w:val="00662ED9"/>
    <w:rsid w:val="006953C3"/>
    <w:rsid w:val="00772F89"/>
    <w:rsid w:val="007E6CC2"/>
    <w:rsid w:val="009905C7"/>
    <w:rsid w:val="009C7021"/>
    <w:rsid w:val="00A34F69"/>
    <w:rsid w:val="00BD5D19"/>
    <w:rsid w:val="00C12705"/>
    <w:rsid w:val="00C55AD3"/>
    <w:rsid w:val="00CD26F6"/>
    <w:rsid w:val="00D437B7"/>
    <w:rsid w:val="00E22C7E"/>
    <w:rsid w:val="00EE0BB2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AF59"/>
  <w15:chartTrackingRefBased/>
  <w15:docId w15:val="{7A766E13-2046-4E6E-8AC5-5380578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2024-10-29T04:05:00Z</dcterms:created>
  <dcterms:modified xsi:type="dcterms:W3CDTF">2024-10-29T05:01:00Z</dcterms:modified>
</cp:coreProperties>
</file>